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B65E" w14:textId="77777777" w:rsidR="00FF3E76" w:rsidRPr="00FF3E76" w:rsidRDefault="00FF3E76">
      <w:pPr>
        <w:rPr>
          <w:b/>
          <w:bCs/>
          <w:color w:val="215E99" w:themeColor="text2" w:themeTint="BF"/>
        </w:rPr>
      </w:pPr>
      <w:r w:rsidRPr="00FF3E76">
        <w:rPr>
          <w:noProof/>
          <w:color w:val="215E99" w:themeColor="text2" w:themeTint="BF"/>
        </w:rPr>
        <mc:AlternateContent>
          <mc:Choice Requires="wps">
            <w:drawing>
              <wp:anchor distT="0" distB="0" distL="114300" distR="114300" simplePos="0" relativeHeight="251658240" behindDoc="0" locked="0" layoutInCell="1" allowOverlap="1" wp14:anchorId="624FC47F" wp14:editId="55A25FBB">
                <wp:simplePos x="0" y="0"/>
                <wp:positionH relativeFrom="column">
                  <wp:posOffset>4886325</wp:posOffset>
                </wp:positionH>
                <wp:positionV relativeFrom="paragraph">
                  <wp:posOffset>-299085</wp:posOffset>
                </wp:positionV>
                <wp:extent cx="1685290" cy="914400"/>
                <wp:effectExtent l="19050" t="19050" r="29210" b="57150"/>
                <wp:wrapNone/>
                <wp:docPr id="3836816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9144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96B19B7"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P</w:t>
                            </w:r>
                            <w:r>
                              <w:rPr>
                                <w:rFonts w:ascii="Cambria" w:hAnsi="Cambria" w:cs="Calibri"/>
                                <w:color w:val="FFFFFF"/>
                                <w:sz w:val="32"/>
                                <w:szCs w:val="32"/>
                              </w:rPr>
                              <w:t xml:space="preserve">reston </w:t>
                            </w:r>
                            <w:r>
                              <w:rPr>
                                <w:rFonts w:ascii="Cambria" w:hAnsi="Cambria" w:cs="Calibri"/>
                                <w:color w:val="FFFFFF"/>
                                <w:sz w:val="48"/>
                                <w:szCs w:val="48"/>
                              </w:rPr>
                              <w:t>G</w:t>
                            </w:r>
                            <w:r>
                              <w:rPr>
                                <w:rFonts w:ascii="Cambria" w:hAnsi="Cambria" w:cs="Calibri"/>
                                <w:color w:val="FFFFFF"/>
                                <w:sz w:val="32"/>
                                <w:szCs w:val="32"/>
                              </w:rPr>
                              <w:t>rove</w:t>
                            </w:r>
                          </w:p>
                          <w:p w14:paraId="2CC665BC"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M</w:t>
                            </w:r>
                            <w:r>
                              <w:rPr>
                                <w:rFonts w:ascii="Cambria" w:hAnsi="Cambria" w:cs="Calibri"/>
                                <w:color w:val="FFFFFF"/>
                                <w:sz w:val="32"/>
                                <w:szCs w:val="32"/>
                              </w:rPr>
                              <w:t xml:space="preserve">edical </w:t>
                            </w:r>
                            <w:r>
                              <w:rPr>
                                <w:rFonts w:ascii="Cambria" w:hAnsi="Cambria" w:cs="Calibri"/>
                                <w:color w:val="FFFFFF"/>
                                <w:sz w:val="48"/>
                                <w:szCs w:val="48"/>
                              </w:rPr>
                              <w:t>C</w:t>
                            </w:r>
                            <w:r>
                              <w:rPr>
                                <w:rFonts w:ascii="Cambria" w:hAnsi="Cambria" w:cs="Calibri"/>
                                <w:color w:val="FFFFFF"/>
                                <w:sz w:val="32"/>
                                <w:szCs w:val="32"/>
                              </w:rPr>
                              <w:t>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FC47F" id="_x0000_t202" coordsize="21600,21600" o:spt="202" path="m,l,21600r21600,l21600,xe">
                <v:stroke joinstyle="miter"/>
                <v:path gradientshapeok="t" o:connecttype="rect"/>
              </v:shapetype>
              <v:shape id="Text Box 1" o:spid="_x0000_s1026" type="#_x0000_t202" style="position:absolute;margin-left:384.75pt;margin-top:-23.55pt;width:132.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" fillcolor="#4f81bd" strokecolor="#f2f2f2" strokeweight="3pt">
                <v:shadow on="t" color="#243f60" opacity=".5" offset="1pt"/>
                <v:textbox>
                  <w:txbxContent>
                    <w:p w14:paraId="496B19B7"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P</w:t>
                      </w:r>
                      <w:r>
                        <w:rPr>
                          <w:rFonts w:ascii="Cambria" w:hAnsi="Cambria" w:cs="Calibri"/>
                          <w:color w:val="FFFFFF"/>
                          <w:sz w:val="32"/>
                          <w:szCs w:val="32"/>
                        </w:rPr>
                        <w:t xml:space="preserve">reston </w:t>
                      </w:r>
                      <w:r>
                        <w:rPr>
                          <w:rFonts w:ascii="Cambria" w:hAnsi="Cambria" w:cs="Calibri"/>
                          <w:color w:val="FFFFFF"/>
                          <w:sz w:val="48"/>
                          <w:szCs w:val="48"/>
                        </w:rPr>
                        <w:t>G</w:t>
                      </w:r>
                      <w:r>
                        <w:rPr>
                          <w:rFonts w:ascii="Cambria" w:hAnsi="Cambria" w:cs="Calibri"/>
                          <w:color w:val="FFFFFF"/>
                          <w:sz w:val="32"/>
                          <w:szCs w:val="32"/>
                        </w:rPr>
                        <w:t>rove</w:t>
                      </w:r>
                    </w:p>
                    <w:p w14:paraId="2CC665BC" w14:textId="77777777" w:rsidR="00FF3E76" w:rsidRDefault="00FF3E76" w:rsidP="00FF3E76">
                      <w:pPr>
                        <w:spacing w:after="0"/>
                        <w:rPr>
                          <w:rFonts w:ascii="Cambria" w:hAnsi="Cambria" w:cs="Calibri"/>
                          <w:color w:val="FFFFFF"/>
                          <w:sz w:val="32"/>
                          <w:szCs w:val="32"/>
                        </w:rPr>
                      </w:pPr>
                      <w:r>
                        <w:rPr>
                          <w:rFonts w:ascii="Cambria" w:hAnsi="Cambria" w:cs="Calibri"/>
                          <w:color w:val="FFFFFF"/>
                          <w:sz w:val="48"/>
                          <w:szCs w:val="48"/>
                        </w:rPr>
                        <w:t>M</w:t>
                      </w:r>
                      <w:r>
                        <w:rPr>
                          <w:rFonts w:ascii="Cambria" w:hAnsi="Cambria" w:cs="Calibri"/>
                          <w:color w:val="FFFFFF"/>
                          <w:sz w:val="32"/>
                          <w:szCs w:val="32"/>
                        </w:rPr>
                        <w:t xml:space="preserve">edical </w:t>
                      </w:r>
                      <w:r>
                        <w:rPr>
                          <w:rFonts w:ascii="Cambria" w:hAnsi="Cambria" w:cs="Calibri"/>
                          <w:color w:val="FFFFFF"/>
                          <w:sz w:val="48"/>
                          <w:szCs w:val="48"/>
                        </w:rPr>
                        <w:t>C</w:t>
                      </w:r>
                      <w:r>
                        <w:rPr>
                          <w:rFonts w:ascii="Cambria" w:hAnsi="Cambria" w:cs="Calibri"/>
                          <w:color w:val="FFFFFF"/>
                          <w:sz w:val="32"/>
                          <w:szCs w:val="32"/>
                        </w:rPr>
                        <w:t>entre</w:t>
                      </w:r>
                    </w:p>
                  </w:txbxContent>
                </v:textbox>
              </v:shape>
            </w:pict>
          </mc:Fallback>
        </mc:AlternateContent>
      </w:r>
      <w:r w:rsidRPr="00FF3E76">
        <w:rPr>
          <w:b/>
          <w:bCs/>
          <w:color w:val="215E99" w:themeColor="text2" w:themeTint="BF"/>
        </w:rPr>
        <w:t>Proxy Access to GP online Services-</w:t>
      </w:r>
    </w:p>
    <w:p w14:paraId="5B2DD0D3" w14:textId="57AF4BCB" w:rsidR="00FF3E76" w:rsidRPr="00FF3E76" w:rsidRDefault="00FF3E76">
      <w:pPr>
        <w:rPr>
          <w:b/>
          <w:bCs/>
          <w:color w:val="215E99" w:themeColor="text2" w:themeTint="BF"/>
        </w:rPr>
      </w:pPr>
      <w:r w:rsidRPr="00FF3E76">
        <w:rPr>
          <w:b/>
          <w:bCs/>
          <w:color w:val="215E99" w:themeColor="text2" w:themeTint="BF"/>
        </w:rPr>
        <w:t xml:space="preserve">Information Leaflet for Children </w:t>
      </w:r>
    </w:p>
    <w:p w14:paraId="31AD4CC3" w14:textId="77777777" w:rsidR="00FF3E76" w:rsidRDefault="00FF3E76">
      <w:pPr>
        <w:rPr>
          <w:b/>
          <w:bCs/>
        </w:rPr>
      </w:pPr>
    </w:p>
    <w:p w14:paraId="3F4C458C" w14:textId="513F773A" w:rsidR="00BE05AB" w:rsidRDefault="008640B4">
      <w:pPr>
        <w:rPr>
          <w:b/>
          <w:bCs/>
        </w:rPr>
      </w:pPr>
      <w:r w:rsidRPr="008640B4">
        <w:rPr>
          <w:b/>
          <w:bCs/>
        </w:rPr>
        <w:t>What is Proxy Access?</w:t>
      </w:r>
    </w:p>
    <w:p w14:paraId="19757103" w14:textId="3426C6E5" w:rsidR="008640B4" w:rsidRDefault="008640B4">
      <w:r w:rsidRPr="008640B4">
        <w:t>Proxy access is a way for parents or guardians to view and manage their children’s online health records</w:t>
      </w:r>
      <w:r>
        <w:t>. It allows them to access important information about their childs health. Such as medical history, test results, appointments and medications through secure online platforms.</w:t>
      </w:r>
    </w:p>
    <w:p w14:paraId="34E7301C" w14:textId="1CA4FF8E" w:rsidR="008640B4" w:rsidRDefault="008640B4"/>
    <w:p w14:paraId="7E3AE4EF" w14:textId="4030B078" w:rsidR="008640B4" w:rsidRDefault="008640B4">
      <w:pPr>
        <w:rPr>
          <w:b/>
          <w:bCs/>
        </w:rPr>
      </w:pPr>
      <w:r>
        <w:rPr>
          <w:b/>
          <w:bCs/>
        </w:rPr>
        <w:t>Benefits of Proxy Access:</w:t>
      </w:r>
    </w:p>
    <w:p w14:paraId="0B4FB430" w14:textId="31A33A02" w:rsidR="008640B4" w:rsidRDefault="008640B4" w:rsidP="008640B4">
      <w:pPr>
        <w:pStyle w:val="ListParagraph"/>
        <w:numPr>
          <w:ilvl w:val="0"/>
          <w:numId w:val="1"/>
        </w:numPr>
      </w:pPr>
      <w:r>
        <w:t xml:space="preserve">Better communication: Proxy access helps parents and guardians stay informed about their childs health, allowing them to have meaningful conversations and support their </w:t>
      </w:r>
      <w:r w:rsidR="006F720C">
        <w:t>well-being</w:t>
      </w:r>
      <w:r>
        <w:t>.</w:t>
      </w:r>
    </w:p>
    <w:p w14:paraId="438019E4" w14:textId="77777777" w:rsidR="008640B4" w:rsidRDefault="008640B4" w:rsidP="008640B4">
      <w:pPr>
        <w:pStyle w:val="ListParagraph"/>
      </w:pPr>
    </w:p>
    <w:p w14:paraId="0A3CE8B8" w14:textId="1AFE666C" w:rsidR="008640B4" w:rsidRDefault="008640B4" w:rsidP="008640B4">
      <w:pPr>
        <w:pStyle w:val="ListParagraph"/>
        <w:numPr>
          <w:ilvl w:val="0"/>
          <w:numId w:val="1"/>
        </w:numPr>
      </w:pPr>
      <w:r>
        <w:t>Coordination of Care: By accessing online health records, parents and guardians can coordinate appointments, medications, and treatments more effectively with healthcare professionals.</w:t>
      </w:r>
    </w:p>
    <w:p w14:paraId="35CA6388" w14:textId="0A7821A1" w:rsidR="008640B4" w:rsidRDefault="008640B4" w:rsidP="008640B4">
      <w:pPr>
        <w:pStyle w:val="ListParagraph"/>
      </w:pPr>
    </w:p>
    <w:p w14:paraId="7CD5EBF7" w14:textId="211D443E" w:rsidR="008640B4" w:rsidRDefault="008640B4" w:rsidP="008640B4">
      <w:pPr>
        <w:pStyle w:val="ListParagraph"/>
        <w:numPr>
          <w:ilvl w:val="0"/>
          <w:numId w:val="1"/>
        </w:numPr>
      </w:pPr>
      <w:r>
        <w:t>Emergency Situations: In case of emergencies, proxy access allows parents or guardians to quickly access vital heath information to ensure appropriate and timely care.</w:t>
      </w:r>
    </w:p>
    <w:p w14:paraId="1A0D8405" w14:textId="00F7E471" w:rsidR="008640B4" w:rsidRDefault="008640B4" w:rsidP="008640B4"/>
    <w:p w14:paraId="2364F007" w14:textId="4ED375E9" w:rsidR="008640B4" w:rsidRDefault="008640B4" w:rsidP="008640B4">
      <w:pPr>
        <w:rPr>
          <w:b/>
          <w:bCs/>
        </w:rPr>
      </w:pPr>
      <w:r>
        <w:rPr>
          <w:b/>
          <w:bCs/>
        </w:rPr>
        <w:t>Risks and Considerations:</w:t>
      </w:r>
    </w:p>
    <w:p w14:paraId="5D13126A" w14:textId="6C0625A3" w:rsidR="008640B4" w:rsidRDefault="008640B4" w:rsidP="008640B4">
      <w:pPr>
        <w:pStyle w:val="ListParagraph"/>
        <w:numPr>
          <w:ilvl w:val="0"/>
          <w:numId w:val="8"/>
        </w:numPr>
      </w:pPr>
      <w:r>
        <w:t>Privacy Concerns: Sharing health information with parents or guardians may raise concerns about privacy. It’s important to discuss what information will be accessible and ensure that personal and sensitive date remains confidential.</w:t>
      </w:r>
    </w:p>
    <w:p w14:paraId="3B7BA39A" w14:textId="0FEB49C8" w:rsidR="008640B4" w:rsidRDefault="008640B4" w:rsidP="008640B4">
      <w:pPr>
        <w:pStyle w:val="ListParagraph"/>
      </w:pPr>
    </w:p>
    <w:p w14:paraId="76BF3B94" w14:textId="627EF89B" w:rsidR="008640B4" w:rsidRDefault="008640B4" w:rsidP="008640B4">
      <w:pPr>
        <w:pStyle w:val="ListParagraph"/>
        <w:numPr>
          <w:ilvl w:val="0"/>
          <w:numId w:val="8"/>
        </w:numPr>
      </w:pPr>
      <w:r>
        <w:t>Confidentiality with Healthcare Providers: Some young people may feel more comfortable discussing personal health matters directly with healthcare providers. Proxy access might influence how open they are during consultations.</w:t>
      </w:r>
    </w:p>
    <w:p w14:paraId="1E22EE52" w14:textId="77777777" w:rsidR="008640B4" w:rsidRDefault="008640B4" w:rsidP="008640B4">
      <w:pPr>
        <w:pStyle w:val="ListParagraph"/>
      </w:pPr>
    </w:p>
    <w:p w14:paraId="7362534F" w14:textId="25E0978A" w:rsidR="008640B4" w:rsidRDefault="008640B4" w:rsidP="008640B4">
      <w:pPr>
        <w:pStyle w:val="ListParagraph"/>
        <w:numPr>
          <w:ilvl w:val="0"/>
          <w:numId w:val="8"/>
        </w:numPr>
      </w:pPr>
      <w:r>
        <w:t>Autonomy and Independence: Allowing proxy access means parents or guardians can monitor all their child’s health more closely. Some young people may value their independence and prefer managing their health information themselves.</w:t>
      </w:r>
    </w:p>
    <w:p w14:paraId="57742D9A" w14:textId="00ABA319" w:rsidR="008640B4" w:rsidRDefault="008640B4" w:rsidP="008640B4">
      <w:pPr>
        <w:pStyle w:val="ListParagraph"/>
      </w:pPr>
    </w:p>
    <w:p w14:paraId="07976271" w14:textId="27A64216" w:rsidR="000E59F5" w:rsidRDefault="000E59F5" w:rsidP="008640B4">
      <w:pPr>
        <w:rPr>
          <w:b/>
          <w:bCs/>
        </w:rPr>
      </w:pPr>
    </w:p>
    <w:p w14:paraId="037D0032" w14:textId="215F393C" w:rsidR="000E59F5" w:rsidRDefault="008640B4" w:rsidP="008640B4">
      <w:pPr>
        <w:rPr>
          <w:b/>
          <w:bCs/>
        </w:rPr>
      </w:pPr>
      <w:r>
        <w:rPr>
          <w:b/>
          <w:bCs/>
        </w:rPr>
        <w:t xml:space="preserve">Making </w:t>
      </w:r>
      <w:r w:rsidR="000E59F5">
        <w:rPr>
          <w:b/>
          <w:bCs/>
        </w:rPr>
        <w:t>Informed Decisions:</w:t>
      </w:r>
    </w:p>
    <w:p w14:paraId="4C0DAF1A" w14:textId="59B6E137" w:rsidR="000E59F5" w:rsidRDefault="000E59F5" w:rsidP="000E59F5">
      <w:pPr>
        <w:pStyle w:val="ListParagraph"/>
        <w:numPr>
          <w:ilvl w:val="0"/>
          <w:numId w:val="10"/>
        </w:numPr>
      </w:pPr>
      <w:r>
        <w:t xml:space="preserve">Open Dialogue: Talk to your parents or guardians about proxy access. Discuss your concerns, ask questions, and make sure you understand how it will affect your privacy and autonomy. </w:t>
      </w:r>
    </w:p>
    <w:p w14:paraId="7B616C6C" w14:textId="77777777" w:rsidR="000E59F5" w:rsidRDefault="000E59F5" w:rsidP="000E59F5">
      <w:pPr>
        <w:pStyle w:val="ListParagraph"/>
      </w:pPr>
    </w:p>
    <w:p w14:paraId="68443E8B" w14:textId="050D249E" w:rsidR="000E59F5" w:rsidRDefault="000E59F5" w:rsidP="000E59F5">
      <w:pPr>
        <w:pStyle w:val="ListParagraph"/>
        <w:numPr>
          <w:ilvl w:val="0"/>
          <w:numId w:val="10"/>
        </w:numPr>
      </w:pPr>
      <w:r>
        <w:lastRenderedPageBreak/>
        <w:t>Consent and Control: Remember that your consent is essential in deciding whether to allow proxy access. Ensure that you have control over the types of information your parents or guardians can access and set clear boundaries.</w:t>
      </w:r>
    </w:p>
    <w:p w14:paraId="6E555828" w14:textId="77777777" w:rsidR="000E59F5" w:rsidRDefault="000E59F5" w:rsidP="000E59F5">
      <w:pPr>
        <w:pStyle w:val="ListParagraph"/>
      </w:pPr>
    </w:p>
    <w:p w14:paraId="7F154718" w14:textId="0C9B7E4C" w:rsidR="000E59F5" w:rsidRDefault="000E59F5" w:rsidP="000E59F5">
      <w:pPr>
        <w:pStyle w:val="ListParagraph"/>
        <w:numPr>
          <w:ilvl w:val="0"/>
          <w:numId w:val="10"/>
        </w:numPr>
      </w:pPr>
      <w:r>
        <w:t>Collaboration: Find a balance between involving your parents or guardians in your healthcare decisions and maintaining your autonomy. Consider involving them in discussions with healthcare providers to ensure everyone is on the same page.</w:t>
      </w:r>
    </w:p>
    <w:p w14:paraId="694405FD" w14:textId="77777777" w:rsidR="000E59F5" w:rsidRDefault="000E59F5" w:rsidP="000E59F5">
      <w:pPr>
        <w:pStyle w:val="ListParagraph"/>
      </w:pPr>
    </w:p>
    <w:p w14:paraId="0A797D59" w14:textId="5D237CD3" w:rsidR="000E59F5" w:rsidRDefault="000E59F5" w:rsidP="000E59F5">
      <w:pPr>
        <w:rPr>
          <w:b/>
          <w:bCs/>
        </w:rPr>
      </w:pPr>
      <w:r>
        <w:rPr>
          <w:b/>
          <w:bCs/>
        </w:rPr>
        <w:t>Protecting Your Privacy:</w:t>
      </w:r>
    </w:p>
    <w:p w14:paraId="0409FA97" w14:textId="65F51598" w:rsidR="00825FE1" w:rsidRDefault="000E59F5" w:rsidP="00825FE1">
      <w:pPr>
        <w:pStyle w:val="ListParagraph"/>
        <w:numPr>
          <w:ilvl w:val="0"/>
          <w:numId w:val="11"/>
        </w:numPr>
      </w:pPr>
      <w:r>
        <w:t>Secure Passwords: Use strong, unique passwords for your online health</w:t>
      </w:r>
      <w:r w:rsidR="00825FE1">
        <w:t xml:space="preserve"> accounts and never share them with anyone, including your parents or guardians.</w:t>
      </w:r>
    </w:p>
    <w:p w14:paraId="4FFEE578" w14:textId="77777777" w:rsidR="00825FE1" w:rsidRDefault="00825FE1" w:rsidP="00825FE1">
      <w:pPr>
        <w:pStyle w:val="ListParagraph"/>
      </w:pPr>
    </w:p>
    <w:p w14:paraId="28F4380B" w14:textId="59D41EB4" w:rsidR="00825FE1" w:rsidRDefault="00825FE1" w:rsidP="00825FE1">
      <w:pPr>
        <w:pStyle w:val="ListParagraph"/>
        <w:numPr>
          <w:ilvl w:val="0"/>
          <w:numId w:val="11"/>
        </w:numPr>
      </w:pPr>
      <w:r>
        <w:t>Notification Settings: Check the notification settings on your online health platforms. You can receive alerts when your health information is accessed, helping you stay aware and in control.</w:t>
      </w:r>
    </w:p>
    <w:p w14:paraId="45FFE27C" w14:textId="77777777" w:rsidR="00825FE1" w:rsidRDefault="00825FE1" w:rsidP="00825FE1">
      <w:pPr>
        <w:pStyle w:val="ListParagraph"/>
      </w:pPr>
    </w:p>
    <w:p w14:paraId="34C6B44E" w14:textId="32D7350B" w:rsidR="00825FE1" w:rsidRDefault="00825FE1" w:rsidP="00825FE1">
      <w:pPr>
        <w:pStyle w:val="ListParagraph"/>
        <w:numPr>
          <w:ilvl w:val="0"/>
          <w:numId w:val="11"/>
        </w:numPr>
      </w:pPr>
      <w:r>
        <w:t>Ask for Help: If you have concerns about privacy, seek guidance from a trusted adult, teacher or healthcare provider. They can provide advice and support navigating this important decision.</w:t>
      </w:r>
    </w:p>
    <w:p w14:paraId="18AB44B8" w14:textId="05623DC7" w:rsidR="00825FE1" w:rsidRDefault="00825FE1" w:rsidP="00825FE1">
      <w:pPr>
        <w:pStyle w:val="ListParagraph"/>
      </w:pPr>
    </w:p>
    <w:p w14:paraId="5B48F351" w14:textId="53FA31A7" w:rsidR="00825FE1" w:rsidRDefault="00825FE1" w:rsidP="00825FE1">
      <w:r>
        <w:t>Remember the choice of allowing proxy access to your online health records is personal. By discussing the benefits and risks with your parents or guardians, you can make an informed decision that respects both your privacy and your well-being.</w:t>
      </w:r>
    </w:p>
    <w:p w14:paraId="07331C5B" w14:textId="77777777" w:rsidR="00081832" w:rsidRDefault="00081832" w:rsidP="00825FE1"/>
    <w:p w14:paraId="1FC3D546" w14:textId="77777777" w:rsidR="00081832" w:rsidRPr="003310B8" w:rsidRDefault="00081832" w:rsidP="00081832">
      <w:pPr>
        <w:rPr>
          <w:b/>
          <w:bCs/>
        </w:rPr>
      </w:pPr>
      <w:r w:rsidRPr="003310B8">
        <w:rPr>
          <w:b/>
          <w:bCs/>
        </w:rPr>
        <w:t>Changing your mind</w:t>
      </w:r>
    </w:p>
    <w:p w14:paraId="2F405A53" w14:textId="697DABE3" w:rsidR="00825FE1" w:rsidRDefault="00825FE1" w:rsidP="00825FE1">
      <w:r>
        <w:t>Allowing proxy access do not need to be a permanent agreement and you can change your decision at any time by contacting the practice in one of the following ways</w:t>
      </w:r>
    </w:p>
    <w:p w14:paraId="71C83699" w14:textId="77777777" w:rsidR="00FF3E76" w:rsidRDefault="00FF3E76" w:rsidP="00825FE1"/>
    <w:p w14:paraId="5C39EF9E" w14:textId="0DED0840" w:rsidR="00FF3E76" w:rsidRDefault="00825FE1" w:rsidP="00825FE1">
      <w:pPr>
        <w:pStyle w:val="ListParagraph"/>
        <w:numPr>
          <w:ilvl w:val="0"/>
          <w:numId w:val="12"/>
        </w:numPr>
      </w:pPr>
      <w:r>
        <w:t xml:space="preserve">Call 01935 474353 </w:t>
      </w:r>
      <w:r w:rsidR="00FF3E76">
        <w:t>between 8.30am – 6.30pm (after 2pm for our quieter times is advised)</w:t>
      </w:r>
    </w:p>
    <w:p w14:paraId="7CCC0744" w14:textId="1FE5535D" w:rsidR="00FF3E76" w:rsidRDefault="00FF3E76" w:rsidP="00825FE1">
      <w:pPr>
        <w:pStyle w:val="ListParagraph"/>
        <w:numPr>
          <w:ilvl w:val="0"/>
          <w:numId w:val="12"/>
        </w:numPr>
      </w:pPr>
      <w:r>
        <w:t>In person at the practice reception desk during our opening hours of 8.30am – 6.30pm</w:t>
      </w:r>
    </w:p>
    <w:p w14:paraId="5BA2E0A6" w14:textId="677A5CED" w:rsidR="00825FE1" w:rsidRDefault="00FF3E76" w:rsidP="00825FE1">
      <w:pPr>
        <w:pStyle w:val="ListParagraph"/>
        <w:numPr>
          <w:ilvl w:val="0"/>
          <w:numId w:val="12"/>
        </w:numPr>
      </w:pPr>
      <w:r>
        <w:t xml:space="preserve">In writing via post to – Preston Grove Medical </w:t>
      </w:r>
      <w:proofErr w:type="spellStart"/>
      <w:r>
        <w:t>Centre,</w:t>
      </w:r>
      <w:proofErr w:type="spellEnd"/>
      <w:r>
        <w:t xml:space="preserve"> Preston Grove, Yeovil, Somerset, BA20 2BQ</w:t>
      </w:r>
      <w:r w:rsidR="00825FE1">
        <w:t xml:space="preserve"> </w:t>
      </w:r>
    </w:p>
    <w:p w14:paraId="295C1637" w14:textId="77777777" w:rsidR="00FF3E76" w:rsidRDefault="00FF3E76" w:rsidP="00FF3E76"/>
    <w:p w14:paraId="0BB21AF9" w14:textId="3E118650" w:rsidR="00FF3E76" w:rsidRDefault="00FF3E76" w:rsidP="00FF3E76">
      <w:r>
        <w:t>On your 16</w:t>
      </w:r>
      <w:r w:rsidRPr="00FF3E76">
        <w:rPr>
          <w:vertAlign w:val="superscript"/>
        </w:rPr>
        <w:t>th</w:t>
      </w:r>
      <w:r>
        <w:t xml:space="preserve"> birthday proxy access to your records will stop and will need to be applied for again if required. Your consent will be </w:t>
      </w:r>
      <w:r w:rsidR="006F720C">
        <w:t>needed,</w:t>
      </w:r>
      <w:r>
        <w:t xml:space="preserve"> and you can decide again at that time if you wish for it to be granted.</w:t>
      </w:r>
    </w:p>
    <w:p w14:paraId="5E081DB6" w14:textId="573C4FE0" w:rsidR="00FF3E76" w:rsidRDefault="00FF3E76" w:rsidP="00FF3E76"/>
    <w:p w14:paraId="62434F61" w14:textId="717D8788" w:rsidR="00FF3E76" w:rsidRPr="000E59F5" w:rsidRDefault="00FF3E76" w:rsidP="00FF3E76"/>
    <w:sectPr w:rsidR="00FF3E76" w:rsidRPr="000E59F5" w:rsidSect="00FF3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42D"/>
    <w:multiLevelType w:val="hybridMultilevel"/>
    <w:tmpl w:val="A542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519F7"/>
    <w:multiLevelType w:val="multilevel"/>
    <w:tmpl w:val="836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660B"/>
    <w:multiLevelType w:val="multilevel"/>
    <w:tmpl w:val="FDC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34DFA"/>
    <w:multiLevelType w:val="hybridMultilevel"/>
    <w:tmpl w:val="73E23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F20BE7"/>
    <w:multiLevelType w:val="hybridMultilevel"/>
    <w:tmpl w:val="222A1512"/>
    <w:lvl w:ilvl="0" w:tplc="BF3AA8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D63A3"/>
    <w:multiLevelType w:val="hybridMultilevel"/>
    <w:tmpl w:val="50785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32AF6"/>
    <w:multiLevelType w:val="multilevel"/>
    <w:tmpl w:val="CA3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B0BC7"/>
    <w:multiLevelType w:val="multilevel"/>
    <w:tmpl w:val="07D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40D08"/>
    <w:multiLevelType w:val="hybridMultilevel"/>
    <w:tmpl w:val="E73A4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8A6ADD"/>
    <w:multiLevelType w:val="multilevel"/>
    <w:tmpl w:val="F3E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F7F5D"/>
    <w:multiLevelType w:val="hybridMultilevel"/>
    <w:tmpl w:val="E7F8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83382A"/>
    <w:multiLevelType w:val="multilevel"/>
    <w:tmpl w:val="B08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31572">
    <w:abstractNumId w:val="0"/>
  </w:num>
  <w:num w:numId="2" w16cid:durableId="793138939">
    <w:abstractNumId w:val="11"/>
  </w:num>
  <w:num w:numId="3" w16cid:durableId="716703176">
    <w:abstractNumId w:val="2"/>
  </w:num>
  <w:num w:numId="4" w16cid:durableId="526605601">
    <w:abstractNumId w:val="6"/>
  </w:num>
  <w:num w:numId="5" w16cid:durableId="351497106">
    <w:abstractNumId w:val="9"/>
  </w:num>
  <w:num w:numId="6" w16cid:durableId="1394811004">
    <w:abstractNumId w:val="1"/>
  </w:num>
  <w:num w:numId="7" w16cid:durableId="750125534">
    <w:abstractNumId w:val="7"/>
  </w:num>
  <w:num w:numId="8" w16cid:durableId="1951352852">
    <w:abstractNumId w:val="8"/>
  </w:num>
  <w:num w:numId="9" w16cid:durableId="2129546985">
    <w:abstractNumId w:val="10"/>
  </w:num>
  <w:num w:numId="10" w16cid:durableId="1254049230">
    <w:abstractNumId w:val="3"/>
  </w:num>
  <w:num w:numId="11" w16cid:durableId="669674004">
    <w:abstractNumId w:val="5"/>
  </w:num>
  <w:num w:numId="12" w16cid:durableId="66401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B4"/>
    <w:rsid w:val="00081832"/>
    <w:rsid w:val="000E59F5"/>
    <w:rsid w:val="00554C2A"/>
    <w:rsid w:val="00667298"/>
    <w:rsid w:val="006F720C"/>
    <w:rsid w:val="00825FE1"/>
    <w:rsid w:val="008640B4"/>
    <w:rsid w:val="00BE05AB"/>
    <w:rsid w:val="00FF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2711"/>
  <w15:chartTrackingRefBased/>
  <w15:docId w15:val="{54CE7024-D3DC-4EE6-B54B-8BDAD71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0B4"/>
    <w:rPr>
      <w:rFonts w:eastAsiaTheme="majorEastAsia" w:cstheme="majorBidi"/>
      <w:color w:val="272727" w:themeColor="text1" w:themeTint="D8"/>
    </w:rPr>
  </w:style>
  <w:style w:type="paragraph" w:styleId="Title">
    <w:name w:val="Title"/>
    <w:basedOn w:val="Normal"/>
    <w:next w:val="Normal"/>
    <w:link w:val="TitleChar"/>
    <w:uiPriority w:val="10"/>
    <w:qFormat/>
    <w:rsid w:val="00864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0B4"/>
    <w:pPr>
      <w:spacing w:before="160"/>
      <w:jc w:val="center"/>
    </w:pPr>
    <w:rPr>
      <w:i/>
      <w:iCs/>
      <w:color w:val="404040" w:themeColor="text1" w:themeTint="BF"/>
    </w:rPr>
  </w:style>
  <w:style w:type="character" w:customStyle="1" w:styleId="QuoteChar">
    <w:name w:val="Quote Char"/>
    <w:basedOn w:val="DefaultParagraphFont"/>
    <w:link w:val="Quote"/>
    <w:uiPriority w:val="29"/>
    <w:rsid w:val="008640B4"/>
    <w:rPr>
      <w:i/>
      <w:iCs/>
      <w:color w:val="404040" w:themeColor="text1" w:themeTint="BF"/>
    </w:rPr>
  </w:style>
  <w:style w:type="paragraph" w:styleId="ListParagraph">
    <w:name w:val="List Paragraph"/>
    <w:basedOn w:val="Normal"/>
    <w:uiPriority w:val="34"/>
    <w:qFormat/>
    <w:rsid w:val="008640B4"/>
    <w:pPr>
      <w:ind w:left="720"/>
      <w:contextualSpacing/>
    </w:pPr>
  </w:style>
  <w:style w:type="character" w:styleId="IntenseEmphasis">
    <w:name w:val="Intense Emphasis"/>
    <w:basedOn w:val="DefaultParagraphFont"/>
    <w:uiPriority w:val="21"/>
    <w:qFormat/>
    <w:rsid w:val="008640B4"/>
    <w:rPr>
      <w:i/>
      <w:iCs/>
      <w:color w:val="0F4761" w:themeColor="accent1" w:themeShade="BF"/>
    </w:rPr>
  </w:style>
  <w:style w:type="paragraph" w:styleId="IntenseQuote">
    <w:name w:val="Intense Quote"/>
    <w:basedOn w:val="Normal"/>
    <w:next w:val="Normal"/>
    <w:link w:val="IntenseQuoteChar"/>
    <w:uiPriority w:val="30"/>
    <w:qFormat/>
    <w:rsid w:val="00864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0B4"/>
    <w:rPr>
      <w:i/>
      <w:iCs/>
      <w:color w:val="0F4761" w:themeColor="accent1" w:themeShade="BF"/>
    </w:rPr>
  </w:style>
  <w:style w:type="character" w:styleId="IntenseReference">
    <w:name w:val="Intense Reference"/>
    <w:basedOn w:val="DefaultParagraphFont"/>
    <w:uiPriority w:val="32"/>
    <w:qFormat/>
    <w:rsid w:val="00864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5512">
      <w:bodyDiv w:val="1"/>
      <w:marLeft w:val="0"/>
      <w:marRight w:val="0"/>
      <w:marTop w:val="0"/>
      <w:marBottom w:val="0"/>
      <w:divBdr>
        <w:top w:val="none" w:sz="0" w:space="0" w:color="auto"/>
        <w:left w:val="none" w:sz="0" w:space="0" w:color="auto"/>
        <w:bottom w:val="none" w:sz="0" w:space="0" w:color="auto"/>
        <w:right w:val="none" w:sz="0" w:space="0" w:color="auto"/>
      </w:divBdr>
    </w:div>
    <w:div w:id="174853476">
      <w:bodyDiv w:val="1"/>
      <w:marLeft w:val="0"/>
      <w:marRight w:val="0"/>
      <w:marTop w:val="0"/>
      <w:marBottom w:val="0"/>
      <w:divBdr>
        <w:top w:val="none" w:sz="0" w:space="0" w:color="auto"/>
        <w:left w:val="none" w:sz="0" w:space="0" w:color="auto"/>
        <w:bottom w:val="none" w:sz="0" w:space="0" w:color="auto"/>
        <w:right w:val="none" w:sz="0" w:space="0" w:color="auto"/>
      </w:divBdr>
    </w:div>
    <w:div w:id="1399356014">
      <w:bodyDiv w:val="1"/>
      <w:marLeft w:val="0"/>
      <w:marRight w:val="0"/>
      <w:marTop w:val="0"/>
      <w:marBottom w:val="0"/>
      <w:divBdr>
        <w:top w:val="none" w:sz="0" w:space="0" w:color="auto"/>
        <w:left w:val="none" w:sz="0" w:space="0" w:color="auto"/>
        <w:bottom w:val="none" w:sz="0" w:space="0" w:color="auto"/>
        <w:right w:val="none" w:sz="0" w:space="0" w:color="auto"/>
      </w:divBdr>
    </w:div>
    <w:div w:id="1551721052">
      <w:bodyDiv w:val="1"/>
      <w:marLeft w:val="0"/>
      <w:marRight w:val="0"/>
      <w:marTop w:val="0"/>
      <w:marBottom w:val="0"/>
      <w:divBdr>
        <w:top w:val="none" w:sz="0" w:space="0" w:color="auto"/>
        <w:left w:val="none" w:sz="0" w:space="0" w:color="auto"/>
        <w:bottom w:val="none" w:sz="0" w:space="0" w:color="auto"/>
        <w:right w:val="none" w:sz="0" w:space="0" w:color="auto"/>
      </w:divBdr>
    </w:div>
    <w:div w:id="1790278626">
      <w:bodyDiv w:val="1"/>
      <w:marLeft w:val="0"/>
      <w:marRight w:val="0"/>
      <w:marTop w:val="0"/>
      <w:marBottom w:val="0"/>
      <w:divBdr>
        <w:top w:val="none" w:sz="0" w:space="0" w:color="auto"/>
        <w:left w:val="none" w:sz="0" w:space="0" w:color="auto"/>
        <w:bottom w:val="none" w:sz="0" w:space="0" w:color="auto"/>
        <w:right w:val="none" w:sz="0" w:space="0" w:color="auto"/>
      </w:divBdr>
    </w:div>
    <w:div w:id="19330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GULLIFORD, Cheryl (PRESTON GROVE MEDICAL CENTRE, YEOVIL)</dc:creator>
  <cp:keywords/>
  <dc:description/>
  <cp:lastModifiedBy>GULLIFORD, Cheryl (PRESTON GROVE MEDICAL CENTRE, YEOVIL)</cp:lastModifiedBy>
  <cp:revision>2</cp:revision>
  <dcterms:created xsi:type="dcterms:W3CDTF">2025-03-06T15:30:00Z</dcterms:created>
  <dcterms:modified xsi:type="dcterms:W3CDTF">2025-03-06T17:02:00Z</dcterms:modified>
</cp:coreProperties>
</file>